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06" w:rsidRPr="004354B8" w:rsidRDefault="008E1BE8" w:rsidP="00DF5A06">
      <w:pPr>
        <w:spacing w:after="0" w:line="240" w:lineRule="auto"/>
        <w:jc w:val="both"/>
        <w:rPr>
          <w:rFonts w:ascii="Times New Roman" w:hAnsi="Times New Roman" w:cs="Times New Roman"/>
        </w:rPr>
      </w:pPr>
      <w:r w:rsidRPr="004354B8">
        <w:rPr>
          <w:rFonts w:ascii="Times New Roman" w:hAnsi="Times New Roman" w:cs="Times New Roman"/>
          <w:b/>
        </w:rPr>
        <w:t xml:space="preserve">      </w:t>
      </w:r>
      <w:r w:rsidR="00DF5A06" w:rsidRPr="004354B8">
        <w:rPr>
          <w:rFonts w:ascii="Times New Roman" w:hAnsi="Times New Roman" w:cs="Times New Roman"/>
          <w:b/>
        </w:rPr>
        <w:t>Приватне акціонерне товариство  «Зарічненський молокозавод»</w:t>
      </w:r>
      <w:r w:rsidR="00DF5A06" w:rsidRPr="004354B8">
        <w:rPr>
          <w:rFonts w:ascii="Times New Roman" w:hAnsi="Times New Roman" w:cs="Times New Roman"/>
        </w:rPr>
        <w:t xml:space="preserve">  (Код за ЄДРПОУ </w:t>
      </w:r>
      <w:r w:rsidR="00DF5A06" w:rsidRPr="004354B8">
        <w:rPr>
          <w:rFonts w:ascii="Times New Roman" w:hAnsi="Times New Roman" w:cs="Times New Roman"/>
          <w:iCs/>
        </w:rPr>
        <w:t>00423982</w:t>
      </w:r>
      <w:r w:rsidR="00DF5A06" w:rsidRPr="004354B8">
        <w:rPr>
          <w:rFonts w:ascii="Times New Roman" w:hAnsi="Times New Roman" w:cs="Times New Roman"/>
        </w:rPr>
        <w:t xml:space="preserve">) Місцезнаходження: </w:t>
      </w:r>
      <w:r w:rsidR="00DF5A06" w:rsidRPr="004354B8">
        <w:rPr>
          <w:rFonts w:ascii="Times New Roman" w:hAnsi="Times New Roman" w:cs="Times New Roman"/>
          <w:lang w:val="ru-RU"/>
        </w:rPr>
        <w:t>34000</w:t>
      </w:r>
      <w:r w:rsidR="00DF5A06" w:rsidRPr="004354B8">
        <w:rPr>
          <w:rFonts w:ascii="Times New Roman" w:hAnsi="Times New Roman" w:cs="Times New Roman"/>
        </w:rPr>
        <w:t>, Україна, Рівненська обл., Зарічненський р-н, смт. Зарічне, вул. Центральна, буд.65 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w:t>
      </w:r>
      <w:r w:rsidR="006869F5">
        <w:rPr>
          <w:rFonts w:ascii="Times New Roman" w:hAnsi="Times New Roman" w:cs="Times New Roman"/>
        </w:rPr>
        <w:t>24</w:t>
      </w:r>
      <w:r w:rsidR="00DF5A06" w:rsidRPr="004354B8">
        <w:rPr>
          <w:rFonts w:ascii="Times New Roman" w:hAnsi="Times New Roman" w:cs="Times New Roman"/>
        </w:rPr>
        <w:t>» квітня 20</w:t>
      </w:r>
      <w:r w:rsidR="00AD54DA" w:rsidRPr="004354B8">
        <w:rPr>
          <w:rFonts w:ascii="Times New Roman" w:hAnsi="Times New Roman" w:cs="Times New Roman"/>
        </w:rPr>
        <w:t>21</w:t>
      </w:r>
      <w:r w:rsidR="00DF5A06" w:rsidRPr="004354B8">
        <w:rPr>
          <w:rFonts w:ascii="Times New Roman" w:hAnsi="Times New Roman" w:cs="Times New Roman"/>
        </w:rPr>
        <w:t>року  за адресою:  Україна, Рівненська обл., Зарічненський р-н, смт. Зарічне, вул. Центральна, буд.65, адмінприміщення Товариства, кабінет голови правління. Початок зборів об 10-00 годині. Реєстрація акціонерів та їх повноважних  представників проводитиметься з 9 год. 00 хв. до 9</w:t>
      </w:r>
      <w:r w:rsidR="00DF5A06" w:rsidRPr="004354B8">
        <w:rPr>
          <w:rFonts w:ascii="Times New Roman" w:hAnsi="Times New Roman" w:cs="Times New Roman"/>
          <w:lang w:val="ru-RU"/>
        </w:rPr>
        <w:t xml:space="preserve"> </w:t>
      </w:r>
      <w:r w:rsidR="00DF5A06" w:rsidRPr="004354B8">
        <w:rPr>
          <w:rFonts w:ascii="Times New Roman" w:hAnsi="Times New Roman" w:cs="Times New Roman"/>
        </w:rPr>
        <w:t xml:space="preserve">год. 45 хв. за вищевказаною адресою проведення Загальних зборів. </w:t>
      </w:r>
    </w:p>
    <w:p w:rsidR="00DF5A06" w:rsidRPr="004354B8" w:rsidRDefault="00DF5A06" w:rsidP="00DF5A06">
      <w:pPr>
        <w:spacing w:after="0" w:line="240" w:lineRule="auto"/>
        <w:jc w:val="both"/>
        <w:rPr>
          <w:rFonts w:ascii="Times New Roman" w:hAnsi="Times New Roman" w:cs="Times New Roman"/>
        </w:rPr>
      </w:pPr>
      <w:r w:rsidRPr="004354B8">
        <w:rPr>
          <w:rFonts w:ascii="Times New Roman" w:hAnsi="Times New Roman" w:cs="Times New Roman"/>
        </w:rPr>
        <w:t>Дата складання переліку акціонерів, які мають право на участь у Зборах – «</w:t>
      </w:r>
      <w:r w:rsidR="006869F5">
        <w:rPr>
          <w:rFonts w:ascii="Times New Roman" w:hAnsi="Times New Roman" w:cs="Times New Roman"/>
        </w:rPr>
        <w:t>20</w:t>
      </w:r>
      <w:r w:rsidRPr="004354B8">
        <w:rPr>
          <w:rFonts w:ascii="Times New Roman" w:hAnsi="Times New Roman" w:cs="Times New Roman"/>
        </w:rPr>
        <w:t>» квітня 20</w:t>
      </w:r>
      <w:r w:rsidR="00AD54DA" w:rsidRPr="004354B8">
        <w:rPr>
          <w:rFonts w:ascii="Times New Roman" w:hAnsi="Times New Roman" w:cs="Times New Roman"/>
        </w:rPr>
        <w:t>21</w:t>
      </w:r>
      <w:r w:rsidRPr="004354B8">
        <w:rPr>
          <w:rFonts w:ascii="Times New Roman" w:hAnsi="Times New Roman" w:cs="Times New Roman"/>
        </w:rPr>
        <w:t xml:space="preserve"> року  (станом на 24</w:t>
      </w:r>
      <w:r w:rsidRPr="004354B8">
        <w:rPr>
          <w:rFonts w:ascii="Times New Roman" w:hAnsi="Times New Roman" w:cs="Times New Roman"/>
          <w:lang w:val="ru-RU"/>
        </w:rPr>
        <w:t>-</w:t>
      </w:r>
      <w:r w:rsidRPr="004354B8">
        <w:rPr>
          <w:rFonts w:ascii="Times New Roman" w:hAnsi="Times New Roman" w:cs="Times New Roman"/>
        </w:rPr>
        <w:t xml:space="preserve">00). </w:t>
      </w:r>
    </w:p>
    <w:p w:rsidR="00DF5A06" w:rsidRPr="004354B8" w:rsidRDefault="00DF5A06" w:rsidP="00DF5A06">
      <w:pPr>
        <w:spacing w:after="0" w:line="240" w:lineRule="auto"/>
        <w:jc w:val="center"/>
        <w:rPr>
          <w:rFonts w:ascii="Times New Roman" w:eastAsia="Times New Roman" w:hAnsi="Times New Roman" w:cs="Times New Roman"/>
          <w:lang w:eastAsia="uk-UA"/>
        </w:rPr>
      </w:pPr>
      <w:r w:rsidRPr="004354B8">
        <w:rPr>
          <w:rFonts w:ascii="Times New Roman" w:eastAsia="Times New Roman" w:hAnsi="Times New Roman" w:cs="Times New Roman"/>
          <w:b/>
          <w:bCs/>
          <w:lang w:eastAsia="uk-UA"/>
        </w:rPr>
        <w:t>ПРОЕКТ ПОРЯДКУ ДЕННОГО ТА ПРОЕКТИ РІШЕНЬ:</w:t>
      </w:r>
    </w:p>
    <w:p w:rsidR="00DF5A06" w:rsidRPr="004354B8" w:rsidRDefault="00DF5A06" w:rsidP="004354B8">
      <w:pPr>
        <w:pStyle w:val="a3"/>
        <w:numPr>
          <w:ilvl w:val="0"/>
          <w:numId w:val="1"/>
        </w:numPr>
        <w:ind w:left="284" w:hanging="426"/>
        <w:jc w:val="both"/>
        <w:rPr>
          <w:rFonts w:ascii="Times New Roman" w:hAnsi="Times New Roman" w:cs="Times New Roman"/>
          <w:i/>
        </w:rPr>
      </w:pPr>
      <w:r w:rsidRPr="004354B8">
        <w:rPr>
          <w:rFonts w:ascii="Times New Roman" w:hAnsi="Times New Roman" w:cs="Times New Roman"/>
        </w:rPr>
        <w:t xml:space="preserve">Про обрання лічильної комісії Загальних зборів Товариства. </w:t>
      </w:r>
      <w:r w:rsidRPr="004354B8">
        <w:rPr>
          <w:rFonts w:ascii="Times New Roman" w:hAnsi="Times New Roman" w:cs="Times New Roman"/>
          <w:i/>
        </w:rPr>
        <w:t xml:space="preserve">Обрати лічильну комісію у наступному складі: Голова лічильної комісії – </w:t>
      </w:r>
      <w:r w:rsidR="00FD3820" w:rsidRPr="004354B8">
        <w:rPr>
          <w:rFonts w:ascii="Times New Roman" w:hAnsi="Times New Roman" w:cs="Times New Roman"/>
          <w:i/>
        </w:rPr>
        <w:t>Ковтунвич Н.М.</w:t>
      </w:r>
      <w:r w:rsidRPr="004354B8">
        <w:rPr>
          <w:rFonts w:ascii="Times New Roman" w:hAnsi="Times New Roman" w:cs="Times New Roman"/>
          <w:i/>
        </w:rPr>
        <w:t>.; члени лічильної коміс</w:t>
      </w:r>
      <w:r w:rsidR="00FD3820" w:rsidRPr="004354B8">
        <w:rPr>
          <w:rFonts w:ascii="Times New Roman" w:hAnsi="Times New Roman" w:cs="Times New Roman"/>
          <w:i/>
        </w:rPr>
        <w:t>ії Чекун В.М. та Данило Ю.П.</w:t>
      </w:r>
    </w:p>
    <w:p w:rsidR="00DF5A06" w:rsidRPr="004354B8" w:rsidRDefault="00DF5A06" w:rsidP="004354B8">
      <w:pPr>
        <w:pStyle w:val="a3"/>
        <w:numPr>
          <w:ilvl w:val="0"/>
          <w:numId w:val="1"/>
        </w:numPr>
        <w:ind w:left="284" w:hanging="426"/>
        <w:jc w:val="both"/>
        <w:rPr>
          <w:rFonts w:ascii="Times New Roman" w:hAnsi="Times New Roman" w:cs="Times New Roman"/>
        </w:rPr>
      </w:pPr>
      <w:r w:rsidRPr="004354B8">
        <w:rPr>
          <w:rFonts w:ascii="Times New Roman" w:hAnsi="Times New Roman" w:cs="Times New Roman"/>
        </w:rPr>
        <w:t xml:space="preserve">Про обрання Голови та секретаря Загальних зборів Товариства. </w:t>
      </w:r>
      <w:r w:rsidRPr="004354B8">
        <w:rPr>
          <w:rFonts w:ascii="Times New Roman" w:hAnsi="Times New Roman" w:cs="Times New Roman"/>
          <w:i/>
        </w:rPr>
        <w:t>Затвердити Головою Зборів Бакунець С.М., а секретарем Загальних зборів – Ковалевич Н.В.</w:t>
      </w:r>
    </w:p>
    <w:p w:rsidR="00AD54DA" w:rsidRPr="004354B8" w:rsidRDefault="00AD54DA" w:rsidP="004354B8">
      <w:pPr>
        <w:pStyle w:val="a3"/>
        <w:numPr>
          <w:ilvl w:val="0"/>
          <w:numId w:val="1"/>
        </w:numPr>
        <w:ind w:left="284" w:hanging="426"/>
        <w:jc w:val="both"/>
        <w:rPr>
          <w:rFonts w:ascii="Times New Roman" w:hAnsi="Times New Roman" w:cs="Times New Roman"/>
        </w:rPr>
      </w:pPr>
      <w:r w:rsidRPr="004354B8">
        <w:rPr>
          <w:rFonts w:ascii="Times New Roman" w:hAnsi="Times New Roman" w:cs="Times New Roman"/>
        </w:rPr>
        <w:t xml:space="preserve"> Про затвердження порядку (регламенту) проведення Загальних зборів:</w:t>
      </w:r>
    </w:p>
    <w:p w:rsidR="00AD54DA" w:rsidRPr="004354B8" w:rsidRDefault="00B92B69" w:rsidP="004354B8">
      <w:pPr>
        <w:pStyle w:val="a3"/>
        <w:ind w:left="284" w:hanging="426"/>
        <w:jc w:val="both"/>
        <w:rPr>
          <w:rFonts w:ascii="Times New Roman" w:hAnsi="Times New Roman" w:cs="Times New Roman"/>
          <w:i/>
        </w:rPr>
      </w:pPr>
      <w:r>
        <w:rPr>
          <w:rFonts w:ascii="Times New Roman" w:hAnsi="Times New Roman" w:cs="Times New Roman"/>
          <w:i/>
        </w:rPr>
        <w:t xml:space="preserve">      </w:t>
      </w:r>
      <w:r w:rsidR="00AD54DA" w:rsidRPr="004354B8">
        <w:rPr>
          <w:rFonts w:ascii="Times New Roman" w:hAnsi="Times New Roman" w:cs="Times New Roman"/>
          <w:i/>
        </w:rPr>
        <w:t>Проект рішення: Затвердити наступний порядок (регламент) проведення Загальних зборів:</w:t>
      </w:r>
    </w:p>
    <w:p w:rsidR="00AD54DA" w:rsidRPr="004354B8" w:rsidRDefault="00B92B69" w:rsidP="004354B8">
      <w:pPr>
        <w:pStyle w:val="a3"/>
        <w:ind w:left="284" w:hanging="426"/>
        <w:jc w:val="both"/>
        <w:rPr>
          <w:rFonts w:ascii="Times New Roman" w:hAnsi="Times New Roman" w:cs="Times New Roman"/>
          <w:i/>
        </w:rPr>
      </w:pPr>
      <w:r>
        <w:rPr>
          <w:rFonts w:ascii="Times New Roman" w:hAnsi="Times New Roman" w:cs="Times New Roman"/>
          <w:i/>
        </w:rPr>
        <w:t xml:space="preserve">      </w:t>
      </w:r>
      <w:r w:rsidR="00AD54DA" w:rsidRPr="004354B8">
        <w:rPr>
          <w:rFonts w:ascii="Times New Roman" w:hAnsi="Times New Roman" w:cs="Times New Roman"/>
          <w:i/>
        </w:rPr>
        <w:t>-встановити час для виступів з питань порядку денного до 5 хв.;</w:t>
      </w:r>
    </w:p>
    <w:p w:rsidR="00AD54DA" w:rsidRPr="004354B8" w:rsidRDefault="00B92B69" w:rsidP="004354B8">
      <w:pPr>
        <w:pStyle w:val="a3"/>
        <w:ind w:left="284" w:hanging="426"/>
        <w:jc w:val="both"/>
        <w:rPr>
          <w:rFonts w:ascii="Times New Roman" w:hAnsi="Times New Roman" w:cs="Times New Roman"/>
          <w:i/>
        </w:rPr>
      </w:pPr>
      <w:r>
        <w:rPr>
          <w:rFonts w:ascii="Times New Roman" w:hAnsi="Times New Roman" w:cs="Times New Roman"/>
          <w:i/>
        </w:rPr>
        <w:t xml:space="preserve">     </w:t>
      </w:r>
      <w:r w:rsidR="00AD54DA" w:rsidRPr="004354B8">
        <w:rPr>
          <w:rFonts w:ascii="Times New Roman" w:hAnsi="Times New Roman" w:cs="Times New Roman"/>
          <w:i/>
        </w:rPr>
        <w:t>- встановити час для виступів під час дебатів з питань порядку денного до 2-х хв.;</w:t>
      </w:r>
    </w:p>
    <w:p w:rsidR="00AD54DA" w:rsidRPr="004354B8" w:rsidRDefault="00B92B69" w:rsidP="004354B8">
      <w:pPr>
        <w:pStyle w:val="a3"/>
        <w:ind w:left="284" w:hanging="426"/>
        <w:jc w:val="both"/>
        <w:rPr>
          <w:rFonts w:ascii="Times New Roman" w:hAnsi="Times New Roman" w:cs="Times New Roman"/>
          <w:i/>
        </w:rPr>
      </w:pPr>
      <w:r>
        <w:rPr>
          <w:rFonts w:ascii="Times New Roman" w:hAnsi="Times New Roman" w:cs="Times New Roman"/>
          <w:i/>
        </w:rPr>
        <w:t xml:space="preserve">      </w:t>
      </w:r>
      <w:r w:rsidR="00AD54DA" w:rsidRPr="004354B8">
        <w:rPr>
          <w:rFonts w:ascii="Times New Roman" w:hAnsi="Times New Roman" w:cs="Times New Roman"/>
          <w:i/>
        </w:rPr>
        <w:t>- встановити, що на зборах всі питання (пропозиції) та прохання на виступ подаються у письмовому вигляді Голові зборів через лічильну комісію до початку розгляду відповідного питання порядку денного, якого стосуються ці питання (пропозиції);</w:t>
      </w:r>
    </w:p>
    <w:p w:rsidR="00AD54DA" w:rsidRPr="004354B8" w:rsidRDefault="00B92B69" w:rsidP="004354B8">
      <w:pPr>
        <w:pStyle w:val="a3"/>
        <w:ind w:left="284" w:hanging="426"/>
        <w:jc w:val="both"/>
        <w:rPr>
          <w:rFonts w:ascii="Times New Roman" w:hAnsi="Times New Roman" w:cs="Times New Roman"/>
          <w:i/>
        </w:rPr>
      </w:pPr>
      <w:r>
        <w:rPr>
          <w:rFonts w:ascii="Times New Roman" w:hAnsi="Times New Roman" w:cs="Times New Roman"/>
          <w:i/>
        </w:rPr>
        <w:t xml:space="preserve">     </w:t>
      </w:r>
      <w:r w:rsidR="00AD54DA" w:rsidRPr="004354B8">
        <w:rPr>
          <w:rFonts w:ascii="Times New Roman" w:hAnsi="Times New Roman" w:cs="Times New Roman"/>
          <w:i/>
        </w:rPr>
        <w:t>-встановити, що протокол Зборів підпишуть голова та секретар Зборів.</w:t>
      </w:r>
    </w:p>
    <w:p w:rsidR="00AD54DA" w:rsidRPr="004354B8" w:rsidRDefault="00B92B69" w:rsidP="004354B8">
      <w:pPr>
        <w:pStyle w:val="a3"/>
        <w:ind w:left="284" w:hanging="426"/>
        <w:jc w:val="both"/>
        <w:rPr>
          <w:rFonts w:ascii="Times New Roman" w:hAnsi="Times New Roman" w:cs="Times New Roman"/>
          <w:i/>
        </w:rPr>
      </w:pPr>
      <w:r>
        <w:rPr>
          <w:rFonts w:ascii="Times New Roman" w:hAnsi="Times New Roman" w:cs="Times New Roman"/>
          <w:i/>
        </w:rPr>
        <w:t xml:space="preserve">      </w:t>
      </w:r>
      <w:r w:rsidR="00AD54DA" w:rsidRPr="004354B8">
        <w:rPr>
          <w:rFonts w:ascii="Times New Roman" w:hAnsi="Times New Roman" w:cs="Times New Roman"/>
          <w:i/>
        </w:rPr>
        <w:t>Затвердити порядок та спосіб засвідчення бюлетенів для голосування: під час реєстрації акціонерів та їх представників, голова реєстраційної комісії встановлює відповідність виготовлених для видачі акціонерам бюлетенів із затвердженими Наглядовою радою формою та текстом бюлетенів. У разі встановлення відповідності виготовлених для видачі бюлетенів із затвердженою формою та змістом, голова реєстраційної комісї засвідчує бюлетені шляхом їх підписання. Якщо бюлетені не відповідають затвердженій формі і  тексту, голова реєстраційної комісії ставить позначку на кожному бюлетені «Не дійсний» та ставить підпис. У протоколах про підсумки голосування зазначаються відомості про недійсні бюлетені.</w:t>
      </w:r>
    </w:p>
    <w:p w:rsidR="00DF5A06" w:rsidRPr="004354B8" w:rsidRDefault="008E1BE8" w:rsidP="004354B8">
      <w:pPr>
        <w:pStyle w:val="a3"/>
        <w:numPr>
          <w:ilvl w:val="0"/>
          <w:numId w:val="1"/>
        </w:numPr>
        <w:ind w:left="284" w:hanging="426"/>
        <w:jc w:val="both"/>
        <w:rPr>
          <w:rFonts w:ascii="Times New Roman" w:hAnsi="Times New Roman" w:cs="Times New Roman"/>
          <w:i/>
        </w:rPr>
      </w:pPr>
      <w:r w:rsidRPr="004354B8">
        <w:rPr>
          <w:rFonts w:ascii="Times New Roman" w:hAnsi="Times New Roman" w:cs="Times New Roman"/>
        </w:rPr>
        <w:t>З</w:t>
      </w:r>
      <w:r w:rsidR="00DF5A06" w:rsidRPr="004354B8">
        <w:rPr>
          <w:rFonts w:ascii="Times New Roman" w:hAnsi="Times New Roman" w:cs="Times New Roman"/>
        </w:rPr>
        <w:t>віт Наглядової ради Товариства про діяльність за 20</w:t>
      </w:r>
      <w:r w:rsidR="004354B8">
        <w:rPr>
          <w:rFonts w:ascii="Times New Roman" w:hAnsi="Times New Roman" w:cs="Times New Roman"/>
        </w:rPr>
        <w:t>19-2020</w:t>
      </w:r>
      <w:r w:rsidR="00DF5A06" w:rsidRPr="004354B8">
        <w:rPr>
          <w:rFonts w:ascii="Times New Roman" w:hAnsi="Times New Roman" w:cs="Times New Roman"/>
        </w:rPr>
        <w:t xml:space="preserve"> р</w:t>
      </w:r>
      <w:r w:rsidR="004354B8">
        <w:rPr>
          <w:rFonts w:ascii="Times New Roman" w:hAnsi="Times New Roman" w:cs="Times New Roman"/>
        </w:rPr>
        <w:t>оки</w:t>
      </w:r>
      <w:r w:rsidR="00DF5A06" w:rsidRPr="004354B8">
        <w:rPr>
          <w:rFonts w:ascii="Times New Roman" w:hAnsi="Times New Roman" w:cs="Times New Roman"/>
        </w:rPr>
        <w:t xml:space="preserve">. </w:t>
      </w:r>
      <w:r w:rsidR="00DF5A06" w:rsidRPr="004354B8">
        <w:rPr>
          <w:rFonts w:ascii="Times New Roman" w:hAnsi="Times New Roman" w:cs="Times New Roman"/>
          <w:i/>
        </w:rPr>
        <w:t>Затвердити звіт Наглядової ради Товариства про діяльність у 20</w:t>
      </w:r>
      <w:r w:rsidR="004354B8">
        <w:rPr>
          <w:rFonts w:ascii="Times New Roman" w:hAnsi="Times New Roman" w:cs="Times New Roman"/>
          <w:i/>
        </w:rPr>
        <w:t>19-2020</w:t>
      </w:r>
      <w:r w:rsidR="00DF5A06" w:rsidRPr="004354B8">
        <w:rPr>
          <w:rFonts w:ascii="Times New Roman" w:hAnsi="Times New Roman" w:cs="Times New Roman"/>
          <w:i/>
        </w:rPr>
        <w:t xml:space="preserve"> ро</w:t>
      </w:r>
      <w:r w:rsidR="004354B8">
        <w:rPr>
          <w:rFonts w:ascii="Times New Roman" w:hAnsi="Times New Roman" w:cs="Times New Roman"/>
          <w:i/>
        </w:rPr>
        <w:t>ках</w:t>
      </w:r>
      <w:r w:rsidR="00DF5A06" w:rsidRPr="004354B8">
        <w:rPr>
          <w:rFonts w:ascii="Times New Roman" w:hAnsi="Times New Roman" w:cs="Times New Roman"/>
          <w:i/>
        </w:rPr>
        <w:t>.</w:t>
      </w:r>
    </w:p>
    <w:p w:rsidR="00DF5A06" w:rsidRPr="004354B8" w:rsidRDefault="008E1BE8" w:rsidP="004354B8">
      <w:pPr>
        <w:pStyle w:val="a3"/>
        <w:numPr>
          <w:ilvl w:val="0"/>
          <w:numId w:val="1"/>
        </w:numPr>
        <w:ind w:left="284" w:hanging="426"/>
        <w:jc w:val="both"/>
        <w:rPr>
          <w:rFonts w:ascii="Times New Roman" w:hAnsi="Times New Roman" w:cs="Times New Roman"/>
          <w:i/>
        </w:rPr>
      </w:pPr>
      <w:r w:rsidRPr="004354B8">
        <w:rPr>
          <w:rFonts w:ascii="Times New Roman" w:hAnsi="Times New Roman" w:cs="Times New Roman"/>
        </w:rPr>
        <w:t>З</w:t>
      </w:r>
      <w:r w:rsidR="00DF5A06" w:rsidRPr="004354B8">
        <w:rPr>
          <w:rFonts w:ascii="Times New Roman" w:hAnsi="Times New Roman" w:cs="Times New Roman"/>
        </w:rPr>
        <w:t xml:space="preserve">віт Виконавчого органу Товариства про діяльність за </w:t>
      </w:r>
      <w:r w:rsidR="004354B8" w:rsidRPr="004354B8">
        <w:rPr>
          <w:rFonts w:ascii="Times New Roman" w:hAnsi="Times New Roman" w:cs="Times New Roman"/>
        </w:rPr>
        <w:t>20</w:t>
      </w:r>
      <w:r w:rsidR="004354B8">
        <w:rPr>
          <w:rFonts w:ascii="Times New Roman" w:hAnsi="Times New Roman" w:cs="Times New Roman"/>
        </w:rPr>
        <w:t>19-2020</w:t>
      </w:r>
      <w:r w:rsidR="004354B8" w:rsidRPr="004354B8">
        <w:rPr>
          <w:rFonts w:ascii="Times New Roman" w:hAnsi="Times New Roman" w:cs="Times New Roman"/>
        </w:rPr>
        <w:t xml:space="preserve"> р</w:t>
      </w:r>
      <w:r w:rsidR="004354B8">
        <w:rPr>
          <w:rFonts w:ascii="Times New Roman" w:hAnsi="Times New Roman" w:cs="Times New Roman"/>
        </w:rPr>
        <w:t>оки</w:t>
      </w:r>
      <w:r w:rsidR="00DF5A06" w:rsidRPr="004354B8">
        <w:rPr>
          <w:rFonts w:ascii="Times New Roman" w:hAnsi="Times New Roman" w:cs="Times New Roman"/>
        </w:rPr>
        <w:t xml:space="preserve">. </w:t>
      </w:r>
      <w:r w:rsidR="00DF5A06" w:rsidRPr="004354B8">
        <w:rPr>
          <w:rFonts w:ascii="Times New Roman" w:hAnsi="Times New Roman" w:cs="Times New Roman"/>
          <w:i/>
        </w:rPr>
        <w:t xml:space="preserve">Затвердити звіт Виконавчого органу  Товариства за </w:t>
      </w:r>
      <w:r w:rsidR="004354B8" w:rsidRPr="004354B8">
        <w:rPr>
          <w:rFonts w:ascii="Times New Roman" w:hAnsi="Times New Roman" w:cs="Times New Roman"/>
          <w:i/>
        </w:rPr>
        <w:t>2019-2020 роки</w:t>
      </w:r>
      <w:r w:rsidR="00DF5A06" w:rsidRPr="004354B8">
        <w:rPr>
          <w:rFonts w:ascii="Times New Roman" w:hAnsi="Times New Roman" w:cs="Times New Roman"/>
          <w:i/>
        </w:rPr>
        <w:t>.</w:t>
      </w:r>
    </w:p>
    <w:p w:rsidR="00DF5A06" w:rsidRPr="004354B8" w:rsidRDefault="008E1BE8" w:rsidP="004354B8">
      <w:pPr>
        <w:pStyle w:val="a3"/>
        <w:numPr>
          <w:ilvl w:val="0"/>
          <w:numId w:val="1"/>
        </w:numPr>
        <w:ind w:left="284" w:hanging="426"/>
        <w:jc w:val="both"/>
        <w:rPr>
          <w:rFonts w:ascii="Times New Roman" w:hAnsi="Times New Roman" w:cs="Times New Roman"/>
          <w:i/>
        </w:rPr>
      </w:pPr>
      <w:r w:rsidRPr="004354B8">
        <w:rPr>
          <w:rFonts w:ascii="Times New Roman" w:hAnsi="Times New Roman" w:cs="Times New Roman"/>
        </w:rPr>
        <w:t>З</w:t>
      </w:r>
      <w:r w:rsidR="00DF5A06" w:rsidRPr="004354B8">
        <w:rPr>
          <w:rFonts w:ascii="Times New Roman" w:hAnsi="Times New Roman" w:cs="Times New Roman"/>
        </w:rPr>
        <w:t xml:space="preserve">віт Ревізійної комісії Товариства про діяльність </w:t>
      </w:r>
      <w:r w:rsidR="004354B8" w:rsidRPr="004354B8">
        <w:rPr>
          <w:rFonts w:ascii="Times New Roman" w:hAnsi="Times New Roman" w:cs="Times New Roman"/>
        </w:rPr>
        <w:t>за 20</w:t>
      </w:r>
      <w:r w:rsidR="004354B8">
        <w:rPr>
          <w:rFonts w:ascii="Times New Roman" w:hAnsi="Times New Roman" w:cs="Times New Roman"/>
        </w:rPr>
        <w:t>19-2020</w:t>
      </w:r>
      <w:r w:rsidR="004354B8" w:rsidRPr="004354B8">
        <w:rPr>
          <w:rFonts w:ascii="Times New Roman" w:hAnsi="Times New Roman" w:cs="Times New Roman"/>
        </w:rPr>
        <w:t xml:space="preserve"> р</w:t>
      </w:r>
      <w:r w:rsidR="004354B8">
        <w:rPr>
          <w:rFonts w:ascii="Times New Roman" w:hAnsi="Times New Roman" w:cs="Times New Roman"/>
        </w:rPr>
        <w:t>оки</w:t>
      </w:r>
      <w:r w:rsidR="00DF5A06" w:rsidRPr="004354B8">
        <w:rPr>
          <w:rFonts w:ascii="Times New Roman" w:hAnsi="Times New Roman" w:cs="Times New Roman"/>
        </w:rPr>
        <w:t xml:space="preserve">. </w:t>
      </w:r>
      <w:r w:rsidR="00DF5A06" w:rsidRPr="004354B8">
        <w:rPr>
          <w:rFonts w:ascii="Times New Roman" w:hAnsi="Times New Roman" w:cs="Times New Roman"/>
          <w:i/>
        </w:rPr>
        <w:t xml:space="preserve">Затвердити звіт Ревізійної комісії Товариства за </w:t>
      </w:r>
      <w:r w:rsidR="004354B8" w:rsidRPr="004354B8">
        <w:rPr>
          <w:rFonts w:ascii="Times New Roman" w:hAnsi="Times New Roman" w:cs="Times New Roman"/>
          <w:i/>
        </w:rPr>
        <w:t>2019-2020 роки</w:t>
      </w:r>
      <w:r w:rsidR="00DF5A06" w:rsidRPr="004354B8">
        <w:rPr>
          <w:rFonts w:ascii="Times New Roman" w:hAnsi="Times New Roman" w:cs="Times New Roman"/>
          <w:i/>
        </w:rPr>
        <w:t xml:space="preserve">. </w:t>
      </w:r>
    </w:p>
    <w:p w:rsidR="00AD54DA" w:rsidRPr="004354B8" w:rsidRDefault="00AD54DA" w:rsidP="004354B8">
      <w:pPr>
        <w:pStyle w:val="a3"/>
        <w:numPr>
          <w:ilvl w:val="0"/>
          <w:numId w:val="1"/>
        </w:numPr>
        <w:spacing w:after="0" w:line="240" w:lineRule="auto"/>
        <w:ind w:left="284" w:hanging="426"/>
        <w:jc w:val="both"/>
        <w:rPr>
          <w:rFonts w:ascii="Times New Roman" w:hAnsi="Times New Roman" w:cs="Times New Roman"/>
        </w:rPr>
      </w:pPr>
      <w:r w:rsidRPr="004354B8">
        <w:rPr>
          <w:rFonts w:ascii="Times New Roman" w:hAnsi="Times New Roman" w:cs="Times New Roman"/>
        </w:rPr>
        <w:t xml:space="preserve">Про прийняття рішення за наслідками розгляду звітів Наглядової ради, виконавчого органу. </w:t>
      </w:r>
      <w:r w:rsidRPr="004354B8">
        <w:rPr>
          <w:rFonts w:ascii="Times New Roman" w:hAnsi="Times New Roman" w:cs="Times New Roman"/>
          <w:i/>
        </w:rPr>
        <w:t>Роботу Наглядової ради, виконавчого органу визнати задовільною.</w:t>
      </w:r>
    </w:p>
    <w:p w:rsidR="00DF5A06" w:rsidRPr="004354B8" w:rsidRDefault="008E1BE8" w:rsidP="004354B8">
      <w:pPr>
        <w:pStyle w:val="a3"/>
        <w:numPr>
          <w:ilvl w:val="0"/>
          <w:numId w:val="1"/>
        </w:numPr>
        <w:ind w:left="284" w:hanging="426"/>
        <w:jc w:val="both"/>
        <w:rPr>
          <w:rFonts w:ascii="Times New Roman" w:hAnsi="Times New Roman" w:cs="Times New Roman"/>
          <w:i/>
        </w:rPr>
      </w:pPr>
      <w:r w:rsidRPr="004354B8">
        <w:rPr>
          <w:rFonts w:ascii="Times New Roman" w:hAnsi="Times New Roman" w:cs="Times New Roman"/>
        </w:rPr>
        <w:t>З</w:t>
      </w:r>
      <w:r w:rsidR="00DF5A06" w:rsidRPr="004354B8">
        <w:rPr>
          <w:rFonts w:ascii="Times New Roman" w:hAnsi="Times New Roman" w:cs="Times New Roman"/>
        </w:rPr>
        <w:t xml:space="preserve">атвердження річного звіту Товариства за </w:t>
      </w:r>
      <w:r w:rsidR="004354B8" w:rsidRPr="004354B8">
        <w:rPr>
          <w:rFonts w:ascii="Times New Roman" w:hAnsi="Times New Roman" w:cs="Times New Roman"/>
        </w:rPr>
        <w:t>20</w:t>
      </w:r>
      <w:r w:rsidR="004354B8">
        <w:rPr>
          <w:rFonts w:ascii="Times New Roman" w:hAnsi="Times New Roman" w:cs="Times New Roman"/>
        </w:rPr>
        <w:t>19-2020</w:t>
      </w:r>
      <w:r w:rsidR="004354B8" w:rsidRPr="004354B8">
        <w:rPr>
          <w:rFonts w:ascii="Times New Roman" w:hAnsi="Times New Roman" w:cs="Times New Roman"/>
        </w:rPr>
        <w:t xml:space="preserve"> р</w:t>
      </w:r>
      <w:r w:rsidR="004354B8">
        <w:rPr>
          <w:rFonts w:ascii="Times New Roman" w:hAnsi="Times New Roman" w:cs="Times New Roman"/>
        </w:rPr>
        <w:t>оки</w:t>
      </w:r>
      <w:r w:rsidR="00DF5A06" w:rsidRPr="004354B8">
        <w:rPr>
          <w:rFonts w:ascii="Times New Roman" w:hAnsi="Times New Roman" w:cs="Times New Roman"/>
        </w:rPr>
        <w:t xml:space="preserve">. </w:t>
      </w:r>
      <w:r w:rsidR="00DF5A06" w:rsidRPr="004354B8">
        <w:rPr>
          <w:rFonts w:ascii="Times New Roman" w:hAnsi="Times New Roman" w:cs="Times New Roman"/>
          <w:i/>
        </w:rPr>
        <w:t xml:space="preserve">Затвердити річний звіт Товариства за </w:t>
      </w:r>
      <w:r w:rsidR="004354B8" w:rsidRPr="004354B8">
        <w:rPr>
          <w:rFonts w:ascii="Times New Roman" w:hAnsi="Times New Roman" w:cs="Times New Roman"/>
          <w:i/>
        </w:rPr>
        <w:t>2019-2020 роки</w:t>
      </w:r>
      <w:r w:rsidR="00DF5A06" w:rsidRPr="004354B8">
        <w:rPr>
          <w:rFonts w:ascii="Times New Roman" w:hAnsi="Times New Roman" w:cs="Times New Roman"/>
          <w:i/>
        </w:rPr>
        <w:t>.</w:t>
      </w:r>
    </w:p>
    <w:p w:rsidR="00DF5A06" w:rsidRPr="004354B8" w:rsidRDefault="008E1BE8" w:rsidP="004354B8">
      <w:pPr>
        <w:pStyle w:val="a3"/>
        <w:numPr>
          <w:ilvl w:val="0"/>
          <w:numId w:val="1"/>
        </w:numPr>
        <w:ind w:left="284" w:hanging="426"/>
        <w:jc w:val="both"/>
        <w:rPr>
          <w:rFonts w:ascii="Times New Roman" w:hAnsi="Times New Roman" w:cs="Times New Roman"/>
          <w:i/>
        </w:rPr>
      </w:pPr>
      <w:r w:rsidRPr="004354B8">
        <w:rPr>
          <w:rFonts w:ascii="Times New Roman" w:hAnsi="Times New Roman" w:cs="Times New Roman"/>
        </w:rPr>
        <w:t>П</w:t>
      </w:r>
      <w:r w:rsidR="00DF5A06" w:rsidRPr="004354B8">
        <w:rPr>
          <w:rFonts w:ascii="Times New Roman" w:hAnsi="Times New Roman" w:cs="Times New Roman"/>
        </w:rPr>
        <w:t xml:space="preserve">орядок розподілу прибутку (покриття збитків) Товариства за </w:t>
      </w:r>
      <w:r w:rsidR="004354B8">
        <w:rPr>
          <w:rFonts w:ascii="Times New Roman" w:hAnsi="Times New Roman" w:cs="Times New Roman"/>
        </w:rPr>
        <w:t>звітний період</w:t>
      </w:r>
      <w:r w:rsidR="00DF5A06" w:rsidRPr="004354B8">
        <w:rPr>
          <w:rFonts w:ascii="Times New Roman" w:hAnsi="Times New Roman" w:cs="Times New Roman"/>
        </w:rPr>
        <w:t xml:space="preserve">. </w:t>
      </w:r>
      <w:r w:rsidR="00DF5A06" w:rsidRPr="004354B8">
        <w:rPr>
          <w:rFonts w:ascii="Times New Roman" w:hAnsi="Times New Roman" w:cs="Times New Roman"/>
          <w:i/>
        </w:rPr>
        <w:t xml:space="preserve">Прибуток, отриманий Товариством за </w:t>
      </w:r>
      <w:r w:rsidR="004354B8">
        <w:rPr>
          <w:rFonts w:ascii="Times New Roman" w:hAnsi="Times New Roman" w:cs="Times New Roman"/>
          <w:i/>
        </w:rPr>
        <w:t xml:space="preserve">звітні роки </w:t>
      </w:r>
      <w:r w:rsidR="00DF5A06" w:rsidRPr="004354B8">
        <w:rPr>
          <w:rFonts w:ascii="Times New Roman" w:hAnsi="Times New Roman" w:cs="Times New Roman"/>
          <w:i/>
        </w:rPr>
        <w:t xml:space="preserve"> направити на розвиток виробництва. Дивіденди за 201</w:t>
      </w:r>
      <w:r w:rsidR="004354B8">
        <w:rPr>
          <w:rFonts w:ascii="Times New Roman" w:hAnsi="Times New Roman" w:cs="Times New Roman"/>
          <w:i/>
        </w:rPr>
        <w:t xml:space="preserve">9-2020 </w:t>
      </w:r>
      <w:r w:rsidR="00DF5A06" w:rsidRPr="004354B8">
        <w:rPr>
          <w:rFonts w:ascii="Times New Roman" w:hAnsi="Times New Roman" w:cs="Times New Roman"/>
          <w:i/>
        </w:rPr>
        <w:t>р</w:t>
      </w:r>
      <w:r w:rsidR="004354B8">
        <w:rPr>
          <w:rFonts w:ascii="Times New Roman" w:hAnsi="Times New Roman" w:cs="Times New Roman"/>
          <w:i/>
        </w:rPr>
        <w:t>оки</w:t>
      </w:r>
      <w:r w:rsidR="00DF5A06" w:rsidRPr="004354B8">
        <w:rPr>
          <w:rFonts w:ascii="Times New Roman" w:hAnsi="Times New Roman" w:cs="Times New Roman"/>
          <w:i/>
        </w:rPr>
        <w:t xml:space="preserve"> в Товаристві не розподіляти та не виплачувати.</w:t>
      </w:r>
    </w:p>
    <w:p w:rsidR="00DF5A06" w:rsidRPr="004354B8" w:rsidRDefault="00DF5A06" w:rsidP="004354B8">
      <w:pPr>
        <w:pStyle w:val="a3"/>
        <w:numPr>
          <w:ilvl w:val="0"/>
          <w:numId w:val="1"/>
        </w:numPr>
        <w:ind w:left="284" w:hanging="426"/>
        <w:jc w:val="both"/>
        <w:rPr>
          <w:rFonts w:ascii="Times New Roman" w:hAnsi="Times New Roman" w:cs="Times New Roman"/>
          <w:i/>
        </w:rPr>
      </w:pPr>
      <w:r w:rsidRPr="004354B8">
        <w:rPr>
          <w:rFonts w:ascii="Times New Roman" w:hAnsi="Times New Roman" w:cs="Times New Roman"/>
        </w:rPr>
        <w:t xml:space="preserve">Припинення повноважень членів </w:t>
      </w:r>
      <w:r w:rsidR="004354B8">
        <w:rPr>
          <w:rFonts w:ascii="Times New Roman" w:hAnsi="Times New Roman" w:cs="Times New Roman"/>
        </w:rPr>
        <w:t>Наглядової ради</w:t>
      </w:r>
      <w:r w:rsidRPr="004354B8">
        <w:rPr>
          <w:rFonts w:ascii="Times New Roman" w:hAnsi="Times New Roman" w:cs="Times New Roman"/>
        </w:rPr>
        <w:t xml:space="preserve"> Товариства. </w:t>
      </w:r>
      <w:r w:rsidRPr="004354B8">
        <w:rPr>
          <w:rFonts w:ascii="Times New Roman" w:hAnsi="Times New Roman" w:cs="Times New Roman"/>
          <w:i/>
        </w:rPr>
        <w:t xml:space="preserve">Припинити повноваження членів </w:t>
      </w:r>
      <w:r w:rsidR="004354B8">
        <w:rPr>
          <w:rFonts w:ascii="Times New Roman" w:hAnsi="Times New Roman" w:cs="Times New Roman"/>
          <w:i/>
        </w:rPr>
        <w:t xml:space="preserve">Наглядової ради </w:t>
      </w:r>
      <w:r w:rsidR="008E1BE8" w:rsidRPr="004354B8">
        <w:rPr>
          <w:rFonts w:ascii="Times New Roman" w:hAnsi="Times New Roman" w:cs="Times New Roman"/>
          <w:i/>
        </w:rPr>
        <w:t xml:space="preserve"> у </w:t>
      </w:r>
      <w:r w:rsidRPr="004354B8">
        <w:rPr>
          <w:rFonts w:ascii="Times New Roman" w:hAnsi="Times New Roman" w:cs="Times New Roman"/>
          <w:i/>
        </w:rPr>
        <w:t xml:space="preserve"> повному складі.</w:t>
      </w:r>
    </w:p>
    <w:p w:rsidR="00DF5A06" w:rsidRPr="004354B8" w:rsidRDefault="00DF5A06" w:rsidP="004354B8">
      <w:pPr>
        <w:pStyle w:val="a3"/>
        <w:numPr>
          <w:ilvl w:val="0"/>
          <w:numId w:val="1"/>
        </w:numPr>
        <w:ind w:left="284" w:hanging="426"/>
        <w:jc w:val="both"/>
        <w:rPr>
          <w:rFonts w:ascii="Times New Roman" w:hAnsi="Times New Roman" w:cs="Times New Roman"/>
          <w:i/>
        </w:rPr>
      </w:pPr>
      <w:r w:rsidRPr="004354B8">
        <w:rPr>
          <w:rFonts w:ascii="Times New Roman" w:hAnsi="Times New Roman" w:cs="Times New Roman"/>
        </w:rPr>
        <w:t xml:space="preserve">Обрання членів </w:t>
      </w:r>
      <w:r w:rsidR="004354B8">
        <w:rPr>
          <w:rFonts w:ascii="Times New Roman" w:hAnsi="Times New Roman" w:cs="Times New Roman"/>
        </w:rPr>
        <w:t>Наглядової ради</w:t>
      </w:r>
      <w:r w:rsidR="004354B8" w:rsidRPr="004354B8">
        <w:rPr>
          <w:rFonts w:ascii="Times New Roman" w:hAnsi="Times New Roman" w:cs="Times New Roman"/>
        </w:rPr>
        <w:t xml:space="preserve"> Товариства</w:t>
      </w:r>
      <w:r w:rsidRPr="004354B8">
        <w:rPr>
          <w:rFonts w:ascii="Times New Roman" w:hAnsi="Times New Roman" w:cs="Times New Roman"/>
        </w:rPr>
        <w:t xml:space="preserve">. </w:t>
      </w:r>
      <w:r w:rsidRPr="004354B8">
        <w:rPr>
          <w:rFonts w:ascii="Times New Roman" w:hAnsi="Times New Roman" w:cs="Times New Roman"/>
          <w:i/>
        </w:rPr>
        <w:t>Здійснюється шляхом кумулятивного голосування.</w:t>
      </w:r>
    </w:p>
    <w:p w:rsidR="00DF5A06" w:rsidRPr="004354B8" w:rsidRDefault="00DF5A06" w:rsidP="004354B8">
      <w:pPr>
        <w:pStyle w:val="a3"/>
        <w:numPr>
          <w:ilvl w:val="0"/>
          <w:numId w:val="1"/>
        </w:numPr>
        <w:ind w:left="284" w:hanging="426"/>
        <w:jc w:val="both"/>
        <w:rPr>
          <w:rFonts w:ascii="Times New Roman" w:hAnsi="Times New Roman" w:cs="Times New Roman"/>
          <w:i/>
        </w:rPr>
      </w:pPr>
      <w:r w:rsidRPr="004354B8">
        <w:rPr>
          <w:rFonts w:ascii="Times New Roman" w:hAnsi="Times New Roman" w:cs="Times New Roman"/>
        </w:rPr>
        <w:t xml:space="preserve">Про затвердження умов цивільно-правових договорів, що укладатимуться з членами  </w:t>
      </w:r>
      <w:r w:rsidR="004354B8">
        <w:rPr>
          <w:rFonts w:ascii="Times New Roman" w:hAnsi="Times New Roman" w:cs="Times New Roman"/>
        </w:rPr>
        <w:t>Наглядової ради</w:t>
      </w:r>
      <w:r w:rsidRPr="004354B8">
        <w:rPr>
          <w:rFonts w:ascii="Times New Roman" w:hAnsi="Times New Roman" w:cs="Times New Roman"/>
        </w:rPr>
        <w:t xml:space="preserve">, обрання особи, яка уповноважується на підписання цивільно-правових договорів з членами </w:t>
      </w:r>
      <w:r w:rsidR="004354B8">
        <w:rPr>
          <w:rFonts w:ascii="Times New Roman" w:hAnsi="Times New Roman" w:cs="Times New Roman"/>
        </w:rPr>
        <w:t>Наглядової ради</w:t>
      </w:r>
      <w:r w:rsidRPr="004354B8">
        <w:rPr>
          <w:rFonts w:ascii="Times New Roman" w:hAnsi="Times New Roman" w:cs="Times New Roman"/>
        </w:rPr>
        <w:t xml:space="preserve">. </w:t>
      </w:r>
      <w:r w:rsidRPr="004354B8">
        <w:rPr>
          <w:rFonts w:ascii="Times New Roman" w:hAnsi="Times New Roman" w:cs="Times New Roman"/>
          <w:i/>
        </w:rPr>
        <w:t xml:space="preserve">Затвердити умови цивільно-правових договорів, що укладатимуться з членами  </w:t>
      </w:r>
      <w:r w:rsidR="004354B8" w:rsidRPr="004354B8">
        <w:rPr>
          <w:rFonts w:ascii="Times New Roman" w:hAnsi="Times New Roman" w:cs="Times New Roman"/>
          <w:i/>
        </w:rPr>
        <w:t xml:space="preserve">Наглядової ради </w:t>
      </w:r>
      <w:r w:rsidRPr="004354B8">
        <w:rPr>
          <w:rFonts w:ascii="Times New Roman" w:hAnsi="Times New Roman" w:cs="Times New Roman"/>
          <w:i/>
        </w:rPr>
        <w:t xml:space="preserve">на безоплатній основі. Надати повноваження голові правління Товариства на підписання цивільно-правових договорів, які будуть укладені з членами </w:t>
      </w:r>
      <w:r w:rsidR="004354B8" w:rsidRPr="004354B8">
        <w:rPr>
          <w:rFonts w:ascii="Times New Roman" w:hAnsi="Times New Roman" w:cs="Times New Roman"/>
          <w:i/>
        </w:rPr>
        <w:t xml:space="preserve">Наглядової ради </w:t>
      </w:r>
      <w:r w:rsidRPr="004354B8">
        <w:rPr>
          <w:rFonts w:ascii="Times New Roman" w:hAnsi="Times New Roman" w:cs="Times New Roman"/>
          <w:i/>
        </w:rPr>
        <w:t>Товариства.</w:t>
      </w:r>
    </w:p>
    <w:p w:rsidR="00DF5A06" w:rsidRPr="004354B8" w:rsidRDefault="00DF5A06" w:rsidP="00DF5A06">
      <w:pPr>
        <w:pStyle w:val="a3"/>
        <w:rPr>
          <w:rFonts w:ascii="Times New Roman" w:hAnsi="Times New Roman" w:cs="Times New Roman"/>
          <w:b/>
          <w:color w:val="000000"/>
        </w:rPr>
      </w:pPr>
      <w:r w:rsidRPr="004354B8">
        <w:rPr>
          <w:rFonts w:ascii="Times New Roman" w:hAnsi="Times New Roman" w:cs="Times New Roman"/>
          <w:b/>
          <w:bCs/>
        </w:rPr>
        <w:t>Основні показники фінансово-господарської діяльності підприємства за 20</w:t>
      </w:r>
      <w:r w:rsidR="004354B8">
        <w:rPr>
          <w:rFonts w:ascii="Times New Roman" w:hAnsi="Times New Roman" w:cs="Times New Roman"/>
          <w:b/>
          <w:bCs/>
        </w:rPr>
        <w:t xml:space="preserve">19-2020 </w:t>
      </w:r>
      <w:r w:rsidRPr="004354B8">
        <w:rPr>
          <w:rFonts w:ascii="Times New Roman" w:hAnsi="Times New Roman" w:cs="Times New Roman"/>
          <w:b/>
          <w:bCs/>
        </w:rPr>
        <w:t>р</w:t>
      </w:r>
      <w:r w:rsidR="004354B8">
        <w:rPr>
          <w:rFonts w:ascii="Times New Roman" w:hAnsi="Times New Roman" w:cs="Times New Roman"/>
          <w:b/>
          <w:bCs/>
        </w:rPr>
        <w:t>оки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1661"/>
        <w:gridCol w:w="1608"/>
        <w:gridCol w:w="1618"/>
      </w:tblGrid>
      <w:tr w:rsidR="004354B8" w:rsidRPr="009459E2" w:rsidTr="004354B8">
        <w:tc>
          <w:tcPr>
            <w:tcW w:w="4576" w:type="dxa"/>
            <w:vMerge w:val="restart"/>
            <w:shd w:val="clear" w:color="auto" w:fill="auto"/>
            <w:vAlign w:val="center"/>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Найменування показника</w:t>
            </w:r>
          </w:p>
        </w:tc>
        <w:tc>
          <w:tcPr>
            <w:tcW w:w="4887" w:type="dxa"/>
            <w:gridSpan w:val="3"/>
          </w:tcPr>
          <w:p w:rsidR="004354B8" w:rsidRPr="009459E2" w:rsidRDefault="004354B8" w:rsidP="004354B8">
            <w:pPr>
              <w:jc w:val="center"/>
              <w:rPr>
                <w:rFonts w:ascii="Times New Roman" w:hAnsi="Times New Roman" w:cs="Times New Roman"/>
              </w:rPr>
            </w:pPr>
            <w:r w:rsidRPr="009459E2">
              <w:rPr>
                <w:rFonts w:ascii="Times New Roman" w:hAnsi="Times New Roman" w:cs="Times New Roman"/>
              </w:rPr>
              <w:t>період</w:t>
            </w:r>
          </w:p>
        </w:tc>
      </w:tr>
      <w:tr w:rsidR="004354B8" w:rsidRPr="009459E2" w:rsidTr="004354B8">
        <w:tc>
          <w:tcPr>
            <w:tcW w:w="4576" w:type="dxa"/>
            <w:vMerge/>
            <w:shd w:val="clear" w:color="auto" w:fill="auto"/>
          </w:tcPr>
          <w:p w:rsidR="004354B8" w:rsidRPr="009459E2" w:rsidRDefault="004354B8" w:rsidP="004354B8">
            <w:pPr>
              <w:jc w:val="both"/>
              <w:rPr>
                <w:rFonts w:ascii="Times New Roman" w:hAnsi="Times New Roman" w:cs="Times New Roman"/>
              </w:rPr>
            </w:pPr>
          </w:p>
        </w:tc>
        <w:tc>
          <w:tcPr>
            <w:tcW w:w="1661" w:type="dxa"/>
            <w:shd w:val="clear" w:color="auto" w:fill="auto"/>
          </w:tcPr>
          <w:p w:rsidR="004354B8" w:rsidRDefault="004354B8" w:rsidP="004354B8">
            <w:pPr>
              <w:jc w:val="center"/>
              <w:rPr>
                <w:rFonts w:ascii="Times New Roman" w:hAnsi="Times New Roman" w:cs="Times New Roman"/>
              </w:rPr>
            </w:pPr>
            <w:r>
              <w:rPr>
                <w:rFonts w:ascii="Times New Roman" w:hAnsi="Times New Roman" w:cs="Times New Roman"/>
              </w:rPr>
              <w:t>Попередній 2018р.</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Звітний 2020р.</w:t>
            </w:r>
          </w:p>
        </w:tc>
        <w:tc>
          <w:tcPr>
            <w:tcW w:w="1618" w:type="dxa"/>
            <w:shd w:val="clear" w:color="auto" w:fill="auto"/>
          </w:tcPr>
          <w:p w:rsidR="004354B8" w:rsidRDefault="004354B8" w:rsidP="004354B8">
            <w:pPr>
              <w:jc w:val="center"/>
              <w:rPr>
                <w:rFonts w:ascii="Times New Roman" w:hAnsi="Times New Roman" w:cs="Times New Roman"/>
              </w:rPr>
            </w:pPr>
            <w:r>
              <w:rPr>
                <w:rFonts w:ascii="Times New Roman" w:hAnsi="Times New Roman" w:cs="Times New Roman"/>
              </w:rPr>
              <w:t>Звітний 2019р.</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Усього активів</w:t>
            </w:r>
          </w:p>
        </w:tc>
        <w:tc>
          <w:tcPr>
            <w:tcW w:w="1661" w:type="dxa"/>
            <w:shd w:val="clear" w:color="auto" w:fill="auto"/>
            <w:vAlign w:val="center"/>
          </w:tcPr>
          <w:p w:rsidR="004354B8" w:rsidRDefault="004354B8" w:rsidP="004354B8">
            <w:pPr>
              <w:jc w:val="center"/>
            </w:pPr>
            <w:r>
              <w:t>2112</w:t>
            </w:r>
          </w:p>
        </w:tc>
        <w:tc>
          <w:tcPr>
            <w:tcW w:w="1608" w:type="dxa"/>
          </w:tcPr>
          <w:p w:rsidR="004354B8" w:rsidRDefault="004354B8" w:rsidP="004354B8">
            <w:pPr>
              <w:jc w:val="center"/>
            </w:pPr>
            <w:r>
              <w:t>2071</w:t>
            </w:r>
          </w:p>
        </w:tc>
        <w:tc>
          <w:tcPr>
            <w:tcW w:w="1618" w:type="dxa"/>
            <w:shd w:val="clear" w:color="auto" w:fill="auto"/>
            <w:vAlign w:val="center"/>
          </w:tcPr>
          <w:p w:rsidR="004354B8" w:rsidRDefault="004354B8" w:rsidP="004354B8">
            <w:pPr>
              <w:jc w:val="center"/>
            </w:pPr>
            <w:r>
              <w:t>2062</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Основні засоби (за залишковою вартістю)</w:t>
            </w:r>
          </w:p>
        </w:tc>
        <w:tc>
          <w:tcPr>
            <w:tcW w:w="1661" w:type="dxa"/>
            <w:shd w:val="clear" w:color="auto" w:fill="auto"/>
            <w:vAlign w:val="center"/>
          </w:tcPr>
          <w:p w:rsidR="004354B8" w:rsidRDefault="004354B8" w:rsidP="004354B8">
            <w:pPr>
              <w:jc w:val="center"/>
            </w:pPr>
            <w:r>
              <w:t>584</w:t>
            </w:r>
          </w:p>
        </w:tc>
        <w:tc>
          <w:tcPr>
            <w:tcW w:w="1608" w:type="dxa"/>
          </w:tcPr>
          <w:p w:rsidR="004354B8" w:rsidRDefault="004354B8" w:rsidP="004354B8">
            <w:pPr>
              <w:jc w:val="center"/>
            </w:pPr>
            <w:r>
              <w:t>694</w:t>
            </w:r>
          </w:p>
        </w:tc>
        <w:tc>
          <w:tcPr>
            <w:tcW w:w="1618" w:type="dxa"/>
            <w:shd w:val="clear" w:color="auto" w:fill="auto"/>
            <w:vAlign w:val="center"/>
          </w:tcPr>
          <w:p w:rsidR="004354B8" w:rsidRDefault="004354B8" w:rsidP="004354B8">
            <w:pPr>
              <w:jc w:val="center"/>
            </w:pPr>
            <w:r>
              <w:t>702</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Запаси</w:t>
            </w:r>
          </w:p>
        </w:tc>
        <w:tc>
          <w:tcPr>
            <w:tcW w:w="1661"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59</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51</w:t>
            </w:r>
          </w:p>
        </w:tc>
        <w:tc>
          <w:tcPr>
            <w:tcW w:w="1618"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709</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Сумарна дебіторська заборгованість</w:t>
            </w:r>
          </w:p>
        </w:tc>
        <w:tc>
          <w:tcPr>
            <w:tcW w:w="1661"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1161</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540</w:t>
            </w:r>
          </w:p>
        </w:tc>
        <w:tc>
          <w:tcPr>
            <w:tcW w:w="1618"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343</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Грошові кошти та їх еквіваленти</w:t>
            </w:r>
          </w:p>
        </w:tc>
        <w:tc>
          <w:tcPr>
            <w:tcW w:w="1661"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308</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786</w:t>
            </w:r>
          </w:p>
        </w:tc>
        <w:tc>
          <w:tcPr>
            <w:tcW w:w="1618"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308</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Нерозподілений прибуток (нерозподілений збиток)</w:t>
            </w:r>
          </w:p>
        </w:tc>
        <w:tc>
          <w:tcPr>
            <w:tcW w:w="1661"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823</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909</w:t>
            </w:r>
          </w:p>
        </w:tc>
        <w:tc>
          <w:tcPr>
            <w:tcW w:w="1618"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892</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Власний капітал</w:t>
            </w:r>
          </w:p>
        </w:tc>
        <w:tc>
          <w:tcPr>
            <w:tcW w:w="1661"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692</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692</w:t>
            </w:r>
          </w:p>
        </w:tc>
        <w:tc>
          <w:tcPr>
            <w:tcW w:w="1618"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692</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Зареєстрований Статутний капітал</w:t>
            </w:r>
          </w:p>
        </w:tc>
        <w:tc>
          <w:tcPr>
            <w:tcW w:w="1661"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240</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240</w:t>
            </w:r>
          </w:p>
        </w:tc>
        <w:tc>
          <w:tcPr>
            <w:tcW w:w="1618"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240</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Довгострокові зобов'язання і забезпечення</w:t>
            </w:r>
          </w:p>
        </w:tc>
        <w:tc>
          <w:tcPr>
            <w:tcW w:w="1661"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22</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22</w:t>
            </w:r>
          </w:p>
        </w:tc>
        <w:tc>
          <w:tcPr>
            <w:tcW w:w="1618"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22</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Поточні зобов'язання і забезпечення</w:t>
            </w:r>
          </w:p>
        </w:tc>
        <w:tc>
          <w:tcPr>
            <w:tcW w:w="1661"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335</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208</w:t>
            </w:r>
          </w:p>
        </w:tc>
        <w:tc>
          <w:tcPr>
            <w:tcW w:w="1618"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216</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Чистий фінансовий результат: прибуток (збиток)</w:t>
            </w:r>
          </w:p>
        </w:tc>
        <w:tc>
          <w:tcPr>
            <w:tcW w:w="1661"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728</w:t>
            </w:r>
          </w:p>
        </w:tc>
        <w:tc>
          <w:tcPr>
            <w:tcW w:w="1608" w:type="dxa"/>
          </w:tcPr>
          <w:p w:rsidR="004354B8" w:rsidRDefault="004354B8" w:rsidP="004354B8">
            <w:pPr>
              <w:jc w:val="center"/>
              <w:rPr>
                <w:rFonts w:ascii="Times New Roman" w:hAnsi="Times New Roman" w:cs="Times New Roman"/>
              </w:rPr>
            </w:pPr>
            <w:r>
              <w:rPr>
                <w:rFonts w:ascii="Times New Roman" w:hAnsi="Times New Roman" w:cs="Times New Roman"/>
              </w:rPr>
              <w:t>17</w:t>
            </w:r>
          </w:p>
        </w:tc>
        <w:tc>
          <w:tcPr>
            <w:tcW w:w="1618" w:type="dxa"/>
            <w:shd w:val="clear" w:color="auto" w:fill="auto"/>
            <w:vAlign w:val="center"/>
          </w:tcPr>
          <w:p w:rsidR="004354B8" w:rsidRDefault="004354B8" w:rsidP="004354B8">
            <w:pPr>
              <w:jc w:val="center"/>
              <w:rPr>
                <w:rFonts w:ascii="Times New Roman" w:hAnsi="Times New Roman" w:cs="Times New Roman"/>
              </w:rPr>
            </w:pPr>
            <w:r>
              <w:rPr>
                <w:rFonts w:ascii="Times New Roman" w:hAnsi="Times New Roman" w:cs="Times New Roman"/>
              </w:rPr>
              <w:t>69</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Середньорічна кількість акцій (шт.)</w:t>
            </w:r>
          </w:p>
        </w:tc>
        <w:tc>
          <w:tcPr>
            <w:tcW w:w="1661" w:type="dxa"/>
            <w:shd w:val="clear" w:color="auto" w:fill="auto"/>
            <w:vAlign w:val="center"/>
          </w:tcPr>
          <w:p w:rsidR="004354B8" w:rsidRPr="002A14FE" w:rsidRDefault="004354B8" w:rsidP="004354B8">
            <w:pPr>
              <w:jc w:val="center"/>
              <w:rPr>
                <w:rFonts w:ascii="Times New Roman" w:hAnsi="Times New Roman" w:cs="Times New Roman"/>
              </w:rPr>
            </w:pPr>
            <w:r>
              <w:rPr>
                <w:rFonts w:ascii="Times New Roman" w:hAnsi="Times New Roman" w:cs="Times New Roman"/>
              </w:rPr>
              <w:t>960305</w:t>
            </w:r>
          </w:p>
        </w:tc>
        <w:tc>
          <w:tcPr>
            <w:tcW w:w="1608" w:type="dxa"/>
          </w:tcPr>
          <w:p w:rsidR="004354B8" w:rsidRPr="002A14FE" w:rsidRDefault="004354B8" w:rsidP="004354B8">
            <w:pPr>
              <w:jc w:val="center"/>
              <w:rPr>
                <w:rFonts w:ascii="Times New Roman" w:hAnsi="Times New Roman" w:cs="Times New Roman"/>
              </w:rPr>
            </w:pPr>
            <w:r>
              <w:rPr>
                <w:rFonts w:ascii="Times New Roman" w:hAnsi="Times New Roman" w:cs="Times New Roman"/>
              </w:rPr>
              <w:t>960305</w:t>
            </w:r>
          </w:p>
        </w:tc>
        <w:tc>
          <w:tcPr>
            <w:tcW w:w="1618" w:type="dxa"/>
            <w:shd w:val="clear" w:color="auto" w:fill="auto"/>
            <w:vAlign w:val="center"/>
          </w:tcPr>
          <w:p w:rsidR="004354B8" w:rsidRPr="002A14FE" w:rsidRDefault="004354B8" w:rsidP="004354B8">
            <w:pPr>
              <w:jc w:val="center"/>
              <w:rPr>
                <w:rFonts w:ascii="Times New Roman" w:hAnsi="Times New Roman" w:cs="Times New Roman"/>
              </w:rPr>
            </w:pPr>
            <w:r>
              <w:rPr>
                <w:rFonts w:ascii="Times New Roman" w:hAnsi="Times New Roman" w:cs="Times New Roman"/>
              </w:rPr>
              <w:t>960305</w:t>
            </w:r>
          </w:p>
        </w:tc>
      </w:tr>
      <w:tr w:rsidR="004354B8" w:rsidRPr="009459E2" w:rsidTr="004354B8">
        <w:tc>
          <w:tcPr>
            <w:tcW w:w="4576" w:type="dxa"/>
            <w:shd w:val="clear" w:color="auto" w:fill="auto"/>
          </w:tcPr>
          <w:p w:rsidR="004354B8" w:rsidRPr="009459E2" w:rsidRDefault="004354B8" w:rsidP="004354B8">
            <w:pPr>
              <w:jc w:val="both"/>
              <w:rPr>
                <w:rFonts w:ascii="Times New Roman" w:hAnsi="Times New Roman" w:cs="Times New Roman"/>
              </w:rPr>
            </w:pPr>
            <w:r w:rsidRPr="009459E2">
              <w:rPr>
                <w:rFonts w:ascii="Times New Roman" w:hAnsi="Times New Roman" w:cs="Times New Roman"/>
              </w:rPr>
              <w:t>Чистий прибуток (збиток) на одну просту акцію (грн.)</w:t>
            </w:r>
          </w:p>
        </w:tc>
        <w:tc>
          <w:tcPr>
            <w:tcW w:w="1661" w:type="dxa"/>
            <w:shd w:val="clear" w:color="auto" w:fill="auto"/>
            <w:vAlign w:val="center"/>
          </w:tcPr>
          <w:p w:rsidR="004354B8" w:rsidRPr="002A14FE" w:rsidRDefault="004354B8" w:rsidP="004354B8">
            <w:pPr>
              <w:jc w:val="center"/>
              <w:rPr>
                <w:rFonts w:ascii="Times New Roman" w:hAnsi="Times New Roman" w:cs="Times New Roman"/>
              </w:rPr>
            </w:pPr>
            <w:r>
              <w:rPr>
                <w:rFonts w:ascii="Times New Roman" w:hAnsi="Times New Roman" w:cs="Times New Roman"/>
              </w:rPr>
              <w:t>0,75809</w:t>
            </w:r>
          </w:p>
        </w:tc>
        <w:tc>
          <w:tcPr>
            <w:tcW w:w="1608" w:type="dxa"/>
          </w:tcPr>
          <w:p w:rsidR="004354B8" w:rsidRPr="002A14FE" w:rsidRDefault="004354B8" w:rsidP="004354B8">
            <w:pPr>
              <w:jc w:val="center"/>
              <w:rPr>
                <w:rFonts w:ascii="Times New Roman" w:hAnsi="Times New Roman" w:cs="Times New Roman"/>
              </w:rPr>
            </w:pPr>
            <w:r>
              <w:rPr>
                <w:rFonts w:ascii="Times New Roman" w:hAnsi="Times New Roman" w:cs="Times New Roman"/>
              </w:rPr>
              <w:t>0,01770</w:t>
            </w:r>
          </w:p>
        </w:tc>
        <w:tc>
          <w:tcPr>
            <w:tcW w:w="1618" w:type="dxa"/>
            <w:shd w:val="clear" w:color="auto" w:fill="auto"/>
            <w:vAlign w:val="center"/>
          </w:tcPr>
          <w:p w:rsidR="004354B8" w:rsidRPr="002A14FE" w:rsidRDefault="004354B8" w:rsidP="004354B8">
            <w:pPr>
              <w:jc w:val="center"/>
              <w:rPr>
                <w:rFonts w:ascii="Times New Roman" w:hAnsi="Times New Roman" w:cs="Times New Roman"/>
              </w:rPr>
            </w:pPr>
            <w:r>
              <w:rPr>
                <w:rFonts w:ascii="Times New Roman" w:hAnsi="Times New Roman" w:cs="Times New Roman"/>
              </w:rPr>
              <w:t>0,07185</w:t>
            </w:r>
          </w:p>
        </w:tc>
        <w:bookmarkStart w:id="0" w:name="_GoBack"/>
        <w:bookmarkEnd w:id="0"/>
      </w:tr>
    </w:tbl>
    <w:p w:rsidR="00DF5A06" w:rsidRPr="004354B8" w:rsidRDefault="00DF5A06" w:rsidP="00DF5A06">
      <w:pPr>
        <w:spacing w:after="0" w:line="240" w:lineRule="auto"/>
        <w:jc w:val="both"/>
        <w:rPr>
          <w:rFonts w:ascii="Times New Roman" w:hAnsi="Times New Roman" w:cs="Times New Roman"/>
          <w:color w:val="FF0000"/>
          <w:lang w:eastAsia="uk-UA"/>
        </w:rPr>
      </w:pPr>
      <w:r w:rsidRPr="004354B8">
        <w:rPr>
          <w:rFonts w:ascii="Times New Roman" w:hAnsi="Times New Roman" w:cs="Times New Roman"/>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ПрАТ «Зарічненський молокозавод» за адресою: Рівненська обл., Зарічненський р-н, смт. Зарічне, вул. Центральна, буд.65, кабінет голови правління </w:t>
      </w:r>
      <w:r w:rsidR="008E1BE8" w:rsidRPr="004354B8">
        <w:rPr>
          <w:rFonts w:ascii="Times New Roman" w:hAnsi="Times New Roman" w:cs="Times New Roman"/>
        </w:rPr>
        <w:t>у робочі дні</w:t>
      </w:r>
      <w:r w:rsidRPr="004354B8">
        <w:rPr>
          <w:rFonts w:ascii="Times New Roman" w:hAnsi="Times New Roman" w:cs="Times New Roman"/>
        </w:rPr>
        <w:t xml:space="preserve">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посада голова правління Гриненко В.Д.  (тел.: </w:t>
      </w:r>
      <w:r w:rsidRPr="004354B8">
        <w:rPr>
          <w:rFonts w:ascii="Times New Roman" w:hAnsi="Times New Roman" w:cs="Times New Roman"/>
          <w:lang w:val="ru-RU"/>
        </w:rPr>
        <w:t>03632 30968</w:t>
      </w:r>
      <w:r w:rsidRPr="004354B8">
        <w:rPr>
          <w:rFonts w:ascii="Times New Roman" w:hAnsi="Times New Roman" w:cs="Times New Roman"/>
        </w:rPr>
        <w:t>). З питань порядку денного та організаційних питань проведення Загальних зборів звертатись до зазначеної уповноваженої особи. </w:t>
      </w:r>
      <w:r w:rsidRPr="004354B8">
        <w:rPr>
          <w:rFonts w:ascii="Times New Roman" w:hAnsi="Times New Roman" w:cs="Times New Roman"/>
          <w:lang w:eastAsia="uk-UA"/>
        </w:rPr>
        <w:t xml:space="preserve">Адреса веб-сайту, на якому розміщена інформація з проектом рішень до кожного з питань, включеного до проекту порядку денного: </w:t>
      </w:r>
      <w:r w:rsidRPr="004354B8">
        <w:rPr>
          <w:rFonts w:ascii="Times New Roman" w:hAnsi="Times New Roman" w:cs="Times New Roman"/>
          <w:iCs/>
          <w:lang w:val="en-US"/>
        </w:rPr>
        <w:t>zarmoloko</w:t>
      </w:r>
      <w:r w:rsidRPr="004354B8">
        <w:rPr>
          <w:rFonts w:ascii="Times New Roman" w:hAnsi="Times New Roman" w:cs="Times New Roman"/>
          <w:iCs/>
          <w:lang w:val="ru-RU"/>
        </w:rPr>
        <w:t>.</w:t>
      </w:r>
      <w:r w:rsidRPr="004354B8">
        <w:rPr>
          <w:rFonts w:ascii="Times New Roman" w:hAnsi="Times New Roman" w:cs="Times New Roman"/>
          <w:iCs/>
          <w:lang w:val="en-US"/>
        </w:rPr>
        <w:t>pat</w:t>
      </w:r>
      <w:r w:rsidRPr="004354B8">
        <w:rPr>
          <w:rFonts w:ascii="Times New Roman" w:hAnsi="Times New Roman" w:cs="Times New Roman"/>
          <w:iCs/>
          <w:lang w:val="ru-RU"/>
        </w:rPr>
        <w:t>.</w:t>
      </w:r>
      <w:r w:rsidRPr="004354B8">
        <w:rPr>
          <w:rFonts w:ascii="Times New Roman" w:hAnsi="Times New Roman" w:cs="Times New Roman"/>
          <w:iCs/>
          <w:lang w:val="en-US"/>
        </w:rPr>
        <w:t>ua</w:t>
      </w:r>
      <w:r w:rsidRPr="004354B8">
        <w:rPr>
          <w:rFonts w:ascii="Times New Roman" w:hAnsi="Times New Roman" w:cs="Times New Roman"/>
          <w:iCs/>
        </w:rPr>
        <w:t xml:space="preserve"> </w:t>
      </w:r>
    </w:p>
    <w:p w:rsidR="00DF5A06" w:rsidRPr="004354B8" w:rsidRDefault="00DF5A06" w:rsidP="00DF5A06">
      <w:pPr>
        <w:spacing w:after="0" w:line="240" w:lineRule="auto"/>
        <w:jc w:val="both"/>
        <w:rPr>
          <w:rFonts w:ascii="Times New Roman" w:hAnsi="Times New Roman" w:cs="Times New Roman"/>
        </w:rPr>
      </w:pPr>
      <w:r w:rsidRPr="004354B8">
        <w:rPr>
          <w:rFonts w:ascii="Times New Roman" w:hAnsi="Times New Roman" w:cs="Times New Roman"/>
        </w:rPr>
        <w:t> 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rsidR="00DF5A06" w:rsidRPr="004354B8" w:rsidRDefault="00DF5A06" w:rsidP="00DF5A06">
      <w:pPr>
        <w:spacing w:after="0" w:line="240" w:lineRule="auto"/>
        <w:jc w:val="both"/>
        <w:rPr>
          <w:rFonts w:ascii="Times New Roman" w:hAnsi="Times New Roman" w:cs="Times New Roman"/>
        </w:rPr>
      </w:pPr>
      <w:r w:rsidRPr="004354B8">
        <w:rPr>
          <w:rFonts w:ascii="Times New Roman" w:hAnsi="Times New Roman" w:cs="Times New Roman"/>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4860E9" w:rsidRPr="004354B8" w:rsidRDefault="00DF5A06" w:rsidP="005048B4">
      <w:pPr>
        <w:spacing w:line="240" w:lineRule="auto"/>
        <w:ind w:firstLine="708"/>
        <w:jc w:val="both"/>
        <w:rPr>
          <w:rFonts w:ascii="Times New Roman" w:hAnsi="Times New Roman" w:cs="Times New Roman"/>
        </w:rPr>
      </w:pPr>
      <w:r w:rsidRPr="004354B8">
        <w:rPr>
          <w:rFonts w:ascii="Times New Roman" w:hAnsi="Times New Roman" w:cs="Times New Roman"/>
        </w:rPr>
        <w:t xml:space="preserve">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w:t>
      </w:r>
      <w:r w:rsidRPr="004354B8">
        <w:rPr>
          <w:rFonts w:ascii="Times New Roman" w:hAnsi="Times New Roman" w:cs="Times New Roman"/>
        </w:rPr>
        <w:lastRenderedPageBreak/>
        <w:t>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4354B8">
        <w:rPr>
          <w:rFonts w:ascii="Times New Roman" w:hAnsi="Times New Roman" w:cs="Times New Roman"/>
        </w:rPr>
        <w:t xml:space="preserve"> Акціонер має право видати довіреність на право участі та голосування на загальних зборах декільком своїм представникам.</w:t>
      </w:r>
      <w:r w:rsidR="004860E9" w:rsidRPr="004354B8">
        <w:rPr>
          <w:rFonts w:ascii="Times New Roman" w:hAnsi="Times New Roman" w:cs="Times New Roman"/>
          <w:lang w:val="en-US"/>
        </w:rPr>
        <w:t xml:space="preserve"> </w:t>
      </w:r>
      <w:bookmarkStart w:id="2" w:name="__DdeLink__509_1308251846"/>
      <w:r w:rsidR="004860E9" w:rsidRPr="004354B8">
        <w:rPr>
          <w:rFonts w:ascii="Times New Roman" w:hAnsi="Times New Roman" w:cs="Times New Roman"/>
        </w:rPr>
        <w:t xml:space="preserve">Згідно з переліком осіб, яким надсилається повідомлення про проведення загальних зборів, складеним станом на </w:t>
      </w:r>
      <w:r w:rsidR="00B92B69" w:rsidRPr="00B92B69">
        <w:rPr>
          <w:rFonts w:ascii="Times New Roman" w:hAnsi="Times New Roman" w:cs="Times New Roman"/>
        </w:rPr>
        <w:t>17</w:t>
      </w:r>
      <w:r w:rsidR="004860E9" w:rsidRPr="00B92B69">
        <w:rPr>
          <w:rFonts w:ascii="Times New Roman" w:hAnsi="Times New Roman" w:cs="Times New Roman"/>
        </w:rPr>
        <w:t xml:space="preserve"> березня 20</w:t>
      </w:r>
      <w:r w:rsidR="00AD54DA" w:rsidRPr="00B92B69">
        <w:rPr>
          <w:rFonts w:ascii="Times New Roman" w:hAnsi="Times New Roman" w:cs="Times New Roman"/>
        </w:rPr>
        <w:t>21</w:t>
      </w:r>
      <w:r w:rsidR="004860E9" w:rsidRPr="004354B8">
        <w:rPr>
          <w:rFonts w:ascii="Times New Roman" w:hAnsi="Times New Roman" w:cs="Times New Roman"/>
        </w:rPr>
        <w:t xml:space="preserve"> року, загальна кількість простих іменних акцій Товариства становить 960305</w:t>
      </w:r>
      <w:r w:rsidR="004860E9" w:rsidRPr="004354B8">
        <w:rPr>
          <w:rFonts w:ascii="Times New Roman" w:hAnsi="Times New Roman" w:cs="Times New Roman"/>
          <w:lang w:val="en-US"/>
        </w:rPr>
        <w:t xml:space="preserve"> </w:t>
      </w:r>
      <w:r w:rsidR="004860E9" w:rsidRPr="004354B8">
        <w:rPr>
          <w:rFonts w:ascii="Times New Roman" w:hAnsi="Times New Roman" w:cs="Times New Roman"/>
        </w:rPr>
        <w:t xml:space="preserve">штук, загальна кількість голосуючих іменних акцій Товариства становить </w:t>
      </w:r>
      <w:bookmarkEnd w:id="2"/>
      <w:r w:rsidR="004860E9" w:rsidRPr="004354B8">
        <w:rPr>
          <w:rFonts w:ascii="Times New Roman" w:hAnsi="Times New Roman" w:cs="Times New Roman"/>
          <w:lang w:val="en-US"/>
        </w:rPr>
        <w:t>608</w:t>
      </w:r>
      <w:r w:rsidR="004860E9" w:rsidRPr="004354B8">
        <w:rPr>
          <w:rFonts w:ascii="Times New Roman" w:hAnsi="Times New Roman" w:cs="Times New Roman"/>
        </w:rPr>
        <w:t xml:space="preserve"> штук.</w:t>
      </w:r>
    </w:p>
    <w:p w:rsidR="00DF5A06" w:rsidRPr="006869F5" w:rsidRDefault="006869F5" w:rsidP="00DF5A06">
      <w:pPr>
        <w:spacing w:after="0" w:line="240" w:lineRule="auto"/>
        <w:jc w:val="both"/>
        <w:rPr>
          <w:rFonts w:ascii="Times New Roman" w:hAnsi="Times New Roman" w:cs="Times New Roman"/>
        </w:rPr>
      </w:pPr>
      <w:r>
        <w:rPr>
          <w:rFonts w:ascii="Times New Roman" w:hAnsi="Times New Roman" w:cs="Times New Roman"/>
        </w:rPr>
        <w:t>Наглядова рада Товариства.</w:t>
      </w:r>
    </w:p>
    <w:p w:rsidR="00DF5A06" w:rsidRPr="004354B8" w:rsidRDefault="00DF5A06" w:rsidP="00DF5A06">
      <w:pPr>
        <w:jc w:val="both"/>
        <w:rPr>
          <w:rFonts w:ascii="Times New Roman" w:hAnsi="Times New Roman" w:cs="Times New Roman"/>
        </w:rPr>
      </w:pPr>
    </w:p>
    <w:p w:rsidR="007F3509" w:rsidRPr="004354B8" w:rsidRDefault="007F3509">
      <w:pPr>
        <w:rPr>
          <w:rFonts w:ascii="Times New Roman" w:hAnsi="Times New Roman" w:cs="Times New Roman"/>
        </w:rPr>
      </w:pPr>
    </w:p>
    <w:sectPr w:rsidR="007F3509" w:rsidRPr="004354B8" w:rsidSect="00AD54DA">
      <w:pgSz w:w="11906" w:h="16838"/>
      <w:pgMar w:top="567"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040B1"/>
    <w:multiLevelType w:val="hybridMultilevel"/>
    <w:tmpl w:val="F496B8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F5A06"/>
    <w:rsid w:val="00010445"/>
    <w:rsid w:val="00016DA4"/>
    <w:rsid w:val="000327F7"/>
    <w:rsid w:val="00035A23"/>
    <w:rsid w:val="00060586"/>
    <w:rsid w:val="000C1224"/>
    <w:rsid w:val="000E74CB"/>
    <w:rsid w:val="000F13CA"/>
    <w:rsid w:val="000F6ADF"/>
    <w:rsid w:val="00112945"/>
    <w:rsid w:val="00120865"/>
    <w:rsid w:val="00122579"/>
    <w:rsid w:val="00123546"/>
    <w:rsid w:val="00153857"/>
    <w:rsid w:val="001630DB"/>
    <w:rsid w:val="001957A0"/>
    <w:rsid w:val="001B16A0"/>
    <w:rsid w:val="001E41E5"/>
    <w:rsid w:val="001E7ADE"/>
    <w:rsid w:val="001F3EB8"/>
    <w:rsid w:val="002817D4"/>
    <w:rsid w:val="002A5ECB"/>
    <w:rsid w:val="002B66AD"/>
    <w:rsid w:val="002E6A0C"/>
    <w:rsid w:val="00302F1A"/>
    <w:rsid w:val="003118E8"/>
    <w:rsid w:val="00323543"/>
    <w:rsid w:val="00326475"/>
    <w:rsid w:val="0036259D"/>
    <w:rsid w:val="003829AE"/>
    <w:rsid w:val="003B2DC9"/>
    <w:rsid w:val="004354B8"/>
    <w:rsid w:val="0044115C"/>
    <w:rsid w:val="00456029"/>
    <w:rsid w:val="004860E9"/>
    <w:rsid w:val="004B51CF"/>
    <w:rsid w:val="004B6D56"/>
    <w:rsid w:val="005048B4"/>
    <w:rsid w:val="00504ECE"/>
    <w:rsid w:val="00515C47"/>
    <w:rsid w:val="00534043"/>
    <w:rsid w:val="00542DFB"/>
    <w:rsid w:val="005A1618"/>
    <w:rsid w:val="005B6065"/>
    <w:rsid w:val="005C1ED5"/>
    <w:rsid w:val="005C6E5F"/>
    <w:rsid w:val="005D5B45"/>
    <w:rsid w:val="005F0005"/>
    <w:rsid w:val="005F4633"/>
    <w:rsid w:val="005F4FE1"/>
    <w:rsid w:val="0060411C"/>
    <w:rsid w:val="006869F5"/>
    <w:rsid w:val="00696216"/>
    <w:rsid w:val="006A423E"/>
    <w:rsid w:val="007522C1"/>
    <w:rsid w:val="007A74F7"/>
    <w:rsid w:val="007E176C"/>
    <w:rsid w:val="007F3509"/>
    <w:rsid w:val="0080405F"/>
    <w:rsid w:val="00804CAF"/>
    <w:rsid w:val="008208A6"/>
    <w:rsid w:val="00836253"/>
    <w:rsid w:val="008A1514"/>
    <w:rsid w:val="008B35BC"/>
    <w:rsid w:val="008E1BE8"/>
    <w:rsid w:val="009035DA"/>
    <w:rsid w:val="009767D8"/>
    <w:rsid w:val="009D5BBA"/>
    <w:rsid w:val="00A0424B"/>
    <w:rsid w:val="00A31D29"/>
    <w:rsid w:val="00A34C3A"/>
    <w:rsid w:val="00A847AF"/>
    <w:rsid w:val="00AB3028"/>
    <w:rsid w:val="00AC71FA"/>
    <w:rsid w:val="00AD54DA"/>
    <w:rsid w:val="00AD7F57"/>
    <w:rsid w:val="00AF62DA"/>
    <w:rsid w:val="00B0767F"/>
    <w:rsid w:val="00B43366"/>
    <w:rsid w:val="00B441D8"/>
    <w:rsid w:val="00B638BE"/>
    <w:rsid w:val="00B92B69"/>
    <w:rsid w:val="00BE382B"/>
    <w:rsid w:val="00C0556E"/>
    <w:rsid w:val="00C25E79"/>
    <w:rsid w:val="00C5248C"/>
    <w:rsid w:val="00C614C7"/>
    <w:rsid w:val="00C61F97"/>
    <w:rsid w:val="00C66ABB"/>
    <w:rsid w:val="00CA7A48"/>
    <w:rsid w:val="00CC6156"/>
    <w:rsid w:val="00D244F6"/>
    <w:rsid w:val="00DB4F95"/>
    <w:rsid w:val="00DE43BD"/>
    <w:rsid w:val="00DF44DB"/>
    <w:rsid w:val="00DF5A06"/>
    <w:rsid w:val="00E17B57"/>
    <w:rsid w:val="00E86B46"/>
    <w:rsid w:val="00EA046F"/>
    <w:rsid w:val="00ED04CE"/>
    <w:rsid w:val="00EF6E73"/>
    <w:rsid w:val="00F00EAF"/>
    <w:rsid w:val="00F02812"/>
    <w:rsid w:val="00F71B11"/>
    <w:rsid w:val="00F86AA9"/>
    <w:rsid w:val="00FB0E70"/>
    <w:rsid w:val="00FD3820"/>
    <w:rsid w:val="00FF51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5676</Words>
  <Characters>3236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dc:creator>
  <cp:lastModifiedBy>Ольга</cp:lastModifiedBy>
  <cp:revision>5</cp:revision>
  <dcterms:created xsi:type="dcterms:W3CDTF">2021-03-15T10:12:00Z</dcterms:created>
  <dcterms:modified xsi:type="dcterms:W3CDTF">2021-03-16T09:39:00Z</dcterms:modified>
</cp:coreProperties>
</file>